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C5" w:rsidRDefault="002F35C5" w:rsidP="002F35C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2F35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ملخ</w:t>
      </w:r>
      <w:bookmarkStart w:id="0" w:name="_GoBack"/>
      <w:bookmarkEnd w:id="0"/>
      <w:r w:rsidRPr="002F35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ص كتاب</w:t>
      </w:r>
    </w:p>
    <w:p w:rsidR="00427154" w:rsidRPr="002F35C5" w:rsidRDefault="00427154" w:rsidP="002F35C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2F35C5" w:rsidRPr="002F35C5" w:rsidRDefault="002F35C5" w:rsidP="0042715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F35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 موضوعية العلم</w:t>
      </w:r>
      <w:r w:rsidR="00427154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42715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2F35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بين الاتجاه التقليدي والاتجاه الجديد </w:t>
      </w:r>
      <w:r w:rsidR="0042715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r w:rsidRPr="002F35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42715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قراءة في فلسفتي </w:t>
      </w:r>
      <w:r w:rsidRPr="002F35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كارل بوبر وسوزان هاك"</w:t>
      </w:r>
    </w:p>
    <w:p w:rsidR="002F35C5" w:rsidRPr="002F35C5" w:rsidRDefault="002F35C5" w:rsidP="002F35C5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إعداد/ </w:t>
      </w:r>
      <w:r w:rsidRPr="002F35C5">
        <w:rPr>
          <w:rFonts w:asciiTheme="majorBidi" w:hAnsiTheme="majorBidi" w:cstheme="majorBidi" w:hint="cs"/>
          <w:sz w:val="28"/>
          <w:szCs w:val="28"/>
          <w:rtl/>
          <w:lang w:bidi="ar-EG"/>
        </w:rPr>
        <w:t>وائل أحمد عبدالله</w:t>
      </w:r>
    </w:p>
    <w:p w:rsidR="002F35C5" w:rsidRDefault="002F35C5" w:rsidP="00427154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F35C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مدرس </w:t>
      </w:r>
      <w:r w:rsidR="00427154">
        <w:rPr>
          <w:rFonts w:asciiTheme="majorBidi" w:hAnsiTheme="majorBidi" w:cstheme="majorBidi" w:hint="cs"/>
          <w:sz w:val="28"/>
          <w:szCs w:val="28"/>
          <w:rtl/>
          <w:lang w:bidi="ar-EG"/>
        </w:rPr>
        <w:t>فلسفة العلوم ومناهج البحث</w:t>
      </w:r>
      <w:r w:rsidRPr="002F35C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</w:t>
      </w:r>
      <w:r w:rsidRPr="002F35C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قسم الفلسفة </w:t>
      </w:r>
      <w:r w:rsidRPr="002F35C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2F35C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كلية الآداب جامعة سوهاج</w:t>
      </w:r>
    </w:p>
    <w:p w:rsidR="002F35C5" w:rsidRPr="002F35C5" w:rsidRDefault="002F35C5" w:rsidP="002F35C5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01A1" w:rsidRPr="009501A1" w:rsidRDefault="009501A1" w:rsidP="00FA774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747BC" w:rsidRPr="002F35C5" w:rsidRDefault="00FA774B" w:rsidP="002F35C5">
      <w:pPr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    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لا شك أنَّ الموضوعية </w:t>
      </w:r>
      <w:r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Objectivity</w:t>
      </w:r>
      <w:r w:rsidRPr="002F35C5">
        <w:rPr>
          <w:rFonts w:asciiTheme="majorBidi" w:hAnsiTheme="majorBidi" w:cs="Simplified Arabic"/>
          <w:sz w:val="28"/>
          <w:szCs w:val="28"/>
          <w:rtl/>
        </w:rPr>
        <w:t xml:space="preserve"> هي أخص خصائص العلم، ويأتي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</w:rPr>
        <w:t>كتابي</w:t>
      </w:r>
      <w:r w:rsidRPr="002F35C5">
        <w:rPr>
          <w:rFonts w:asciiTheme="majorBidi" w:hAnsiTheme="majorBidi" w:cs="Simplified Arabic"/>
          <w:sz w:val="28"/>
          <w:szCs w:val="28"/>
          <w:rtl/>
        </w:rPr>
        <w:t xml:space="preserve"> هذا ليكشف عن وليوضح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31474D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مفهوم موضوعية العلم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بين الاتجاه التقليدي والاتجاه الجديد في فلسفة العلم،</w:t>
      </w:r>
      <w:r w:rsidR="002B1776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عند</w:t>
      </w:r>
      <w:r w:rsidR="0031474D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كلٍّ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 " كارل بوبر </w:t>
      </w:r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Karl Popper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 و " سوزان هاك </w:t>
      </w:r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Susan </w:t>
      </w:r>
      <w:proofErr w:type="spellStart"/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Haack</w:t>
      </w:r>
      <w:proofErr w:type="spellEnd"/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أنموذجاً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، وفى </w:t>
      </w:r>
      <w:r w:rsidR="000522B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سبيل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الك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شف عن هذا المفهوم يعرض الباحث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عديد من النقاط 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</w:p>
    <w:p w:rsidR="000747BC" w:rsidRPr="002F35C5" w:rsidRDefault="008B2D79" w:rsidP="002F35C5">
      <w:pPr>
        <w:jc w:val="both"/>
        <w:rPr>
          <w:rFonts w:asciiTheme="majorBidi" w:hAnsiTheme="majorBidi" w:cs="Simplified Arabic"/>
          <w:i/>
          <w:iCs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    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تمهيد الكتاب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يتناول الباحث 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نبذة عن الموضوعية والذاتية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FA774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Subjectivity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، وسمات الموضوعية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فلسفة العلم التقليدية و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سمات الموضوعية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فلسفة العلم الجديدة، أما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الفصل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الأول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يتناول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522B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نقد كارل بوبر للنزعة الاستقرائية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522B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، وذلك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خلال تحليل فلسفة الوضعيين المناطقة وموقف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بوبر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منها ومن مبدأ التحقق لديهم.</w:t>
      </w:r>
      <w:r w:rsidR="00060296" w:rsidRPr="002F35C5">
        <w:rPr>
          <w:rFonts w:asciiTheme="majorBidi" w:hAnsiTheme="majorBidi" w:cs="Simplified Arabic"/>
          <w:i/>
          <w:iCs/>
          <w:sz w:val="28"/>
          <w:szCs w:val="28"/>
          <w:rtl/>
          <w:lang w:bidi="ar-EG"/>
        </w:rPr>
        <w:t xml:space="preserve">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ويأتي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2F35C5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الفصل الثا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ني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للكشف عن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2F35C5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المنهج العلم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ي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عند بوبر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"،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خلال توضيح كيف كانت الموضوعية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المنطق "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التي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تمثلت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الاستنباط </w:t>
      </w:r>
      <w:r w:rsidR="00FA774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 xml:space="preserve"> Deduction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والتكذيب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FA774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Induction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"، وكيف كانت الموضوعية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الرياضيات عند بوبر "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والتي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تمثلت 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الاحتمال</w:t>
      </w:r>
      <w:r w:rsidR="00FA774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FA774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 xml:space="preserve"> Probability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".</w:t>
      </w:r>
    </w:p>
    <w:p w:rsidR="00CE66A6" w:rsidRPr="002F35C5" w:rsidRDefault="00FA774B" w:rsidP="002F35C5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    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أم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ّ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ا 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الفصل</w:t>
      </w:r>
      <w:r w:rsidR="000747BC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ثالث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</w:t>
      </w:r>
      <w:r w:rsidR="002F35C5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يكشف عن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رواد مدرسة ما بعد الوضعية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Post-Positivism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 والذين ترتب على تأويل أعمالهم رواج مفهوم اللاموضوعية</w:t>
      </w:r>
      <w:r w:rsidR="000208E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 xml:space="preserve">Non Objectivity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،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أمثال: "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توماس كون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Tomas Kohn</w:t>
      </w:r>
      <w:r w:rsidR="009501A1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 و "إمري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لاكاتوش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proofErr w:type="spellStart"/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Imre</w:t>
      </w:r>
      <w:proofErr w:type="spellEnd"/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proofErr w:type="spellStart"/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Lakatos</w:t>
      </w:r>
      <w:proofErr w:type="spellEnd"/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"، ثم يتناول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البحث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موقف "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بول ف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رابند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501A1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Paul </w:t>
      </w:r>
      <w:proofErr w:type="spellStart"/>
      <w:r w:rsidR="009501A1" w:rsidRPr="002F35C5">
        <w:rPr>
          <w:rFonts w:asciiTheme="majorBidi" w:hAnsiTheme="majorBidi" w:cs="Simplified Arabic"/>
          <w:sz w:val="28"/>
          <w:szCs w:val="28"/>
          <w:lang w:bidi="ar-EG"/>
        </w:rPr>
        <w:t>feyerapa</w:t>
      </w:r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>nd</w:t>
      </w:r>
      <w:proofErr w:type="spellEnd"/>
      <w:r w:rsidR="00921AD2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r w:rsidR="0006029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الذى يمثل بداية الثورة على العلم.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وفى 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الفصل ال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رابع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يلخص "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تقو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يم هاك لنظرية المعرفة عند بوبر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"، و بيان موقف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الأستاذة "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سوزان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هاك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Susan Haack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 مجمل فلسفة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بوبر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، حيث انتق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دت مبدأ القابلية للتكذيب </w:t>
      </w:r>
      <w:r w:rsidR="000208E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Falsifiability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لدى بوبري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وكذلك النزعة الاستنباطية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عنده، حيث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رأتها نزعة ت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ُ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فرط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رفض الاستقراء والتحقق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208E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Verification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وت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ُ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نكر دور الخبرة.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أمّا </w:t>
      </w:r>
      <w:r w:rsidR="002F35C5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الفصل ال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خامس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يتناول</w:t>
      </w:r>
      <w:r w:rsidR="000747BC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المنهج العلمي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عند هاك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حيث يضم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خلاصة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فلسفة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هاك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العلم، وفيه يعرض الباحث لنزعة البداهة النقدية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وهي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الفكرة الرئيسية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لهاك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وذلك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خلال عرض موقفها من النزعة التبجيلية للعلم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 xml:space="preserve">Scientism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والنزعة التهكمية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Cynicism</w:t>
      </w:r>
      <w:r w:rsidR="00CE66A6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منه، ثم نعرض لنظرية هاك الجديدة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التسويغ المعرفي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وهى النزعة "الأسسية المتسقة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proofErr w:type="spellStart"/>
      <w:r w:rsidR="000208EB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Foundherentism</w:t>
      </w:r>
      <w:proofErr w:type="spellEnd"/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"، تلك النزعة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 خلالها تصل لحل معتدل لمشكلة الصدق وتخفف التناحر بين نظريات الصدق المختلفة أمثال النظرية الأسسية 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Foundationalism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والنظرية الاتساقية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proofErr w:type="spellStart"/>
      <w:r w:rsidR="00CE66A6" w:rsidRPr="002F35C5">
        <w:rPr>
          <w:rFonts w:asciiTheme="majorBidi" w:hAnsiTheme="majorBidi" w:cs="Simplified Arabic"/>
          <w:sz w:val="28"/>
          <w:szCs w:val="28"/>
          <w:lang w:bidi="ar-EG"/>
        </w:rPr>
        <w:t>Coherentism</w:t>
      </w:r>
      <w:proofErr w:type="spellEnd"/>
      <w:r w:rsidR="00CE66A6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.</w:t>
      </w:r>
    </w:p>
    <w:p w:rsidR="000747BC" w:rsidRPr="002F35C5" w:rsidRDefault="00CE66A6" w:rsidP="002F35C5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lastRenderedPageBreak/>
        <w:t xml:space="preserve">      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ومن ثم جاءت </w:t>
      </w:r>
      <w:r w:rsidR="002F35C5" w:rsidRPr="002F35C5">
        <w:rPr>
          <w:rFonts w:asciiTheme="majorBidi" w:hAnsiTheme="majorBidi" w:cs="Simplified Arabic" w:hint="cs"/>
          <w:sz w:val="28"/>
          <w:szCs w:val="28"/>
          <w:rtl/>
          <w:lang w:bidi="ar-EG"/>
        </w:rPr>
        <w:t>خاتمة الكتاب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متضمنة لأهم النتائج </w:t>
      </w:r>
      <w:r w:rsidR="000208EB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972A04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توصل إليها الباحث ومن أهمها:</w:t>
      </w:r>
    </w:p>
    <w:p w:rsidR="000747BC" w:rsidRPr="002F35C5" w:rsidRDefault="000208EB" w:rsidP="000208EB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أول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ً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</w:t>
      </w:r>
      <w:r w:rsidR="00921AD2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ينتمي </w:t>
      </w:r>
      <w:r w:rsidR="00651AB8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كارل بوبر</w:t>
      </w:r>
      <w:r w:rsidR="00651AB8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إلى مدرسة فلسفة العلم التقليدية 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من بين فلسفاتها فلسفة الوضعية </w:t>
      </w:r>
      <w:r w:rsidR="00CE66A6" w:rsidRPr="002F35C5">
        <w:rPr>
          <w:rFonts w:asciiTheme="majorBidi" w:hAnsiTheme="majorBidi" w:cs="Simplified Arabic"/>
          <w:sz w:val="28"/>
          <w:szCs w:val="28"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Positivism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وفلسفة الحداثة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CE66A6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Modernism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، كما تنتمى الأستاذة 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سوزان هاك</w:t>
      </w:r>
      <w:r w:rsidR="00CE66A6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إلى مدرسة فلسفة العلم الجديدة، أو ما يطلق عليه أحياناً فلسفة علم ما بعد الوضعية </w:t>
      </w:r>
      <w:r w:rsidR="00AA74AF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Post-Positivism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.</w:t>
      </w:r>
    </w:p>
    <w:p w:rsidR="00AA74AF" w:rsidRPr="002F35C5" w:rsidRDefault="00921AD2" w:rsidP="00FA774B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ثانياً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تتمثل موضوعية العلم عند بوبر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الاستنباط </w:t>
      </w:r>
      <w:r w:rsidR="00AA74AF" w:rsidRPr="002F35C5">
        <w:rPr>
          <w:rFonts w:asciiTheme="majorBidi" w:hAnsiTheme="majorBidi" w:cs="Simplified Arabic"/>
          <w:sz w:val="28"/>
          <w:szCs w:val="28"/>
          <w:lang w:bidi="ar-EG"/>
        </w:rPr>
        <w:t>Deduction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والتكذيب </w:t>
      </w:r>
      <w:r w:rsidR="00AA74AF" w:rsidRPr="002F35C5">
        <w:rPr>
          <w:rFonts w:asciiTheme="majorBidi" w:hAnsiTheme="majorBidi" w:cs="Simplified Arabic"/>
          <w:sz w:val="28"/>
          <w:szCs w:val="28"/>
          <w:lang w:bidi="ar-EG"/>
        </w:rPr>
        <w:t>Falsification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، فالمنهج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التكذيبي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للفرضيات هو المنهج الوحيد للمعرفة الموضوعية عند بوبر.</w:t>
      </w:r>
    </w:p>
    <w:p w:rsidR="00AA74AF" w:rsidRPr="002F35C5" w:rsidRDefault="00921AD2" w:rsidP="00FA774B">
      <w:pPr>
        <w:jc w:val="both"/>
        <w:rPr>
          <w:rFonts w:asciiTheme="majorBidi" w:hAnsiTheme="majorBidi" w:cs="Simplified Arabic"/>
          <w:sz w:val="28"/>
          <w:szCs w:val="28"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ثالثاً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يعتبر توماس كون ولاكاتوش من الرواد الأوائل لمدرسة فلسفة علم ما بعد الوضعية، واللذين ترتب على تأويل أعمالهم رواج مفهوم اللاموضوعية، حيث ارتبطت فكرة اللاموضوعية بفكرة اللاعقلانية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فلسفة كون بسبب بعض المصطلحات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ذكرها كون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كتاباته وتم تأويلها على نحو خاطئ.</w:t>
      </w:r>
    </w:p>
    <w:p w:rsidR="00AA74AF" w:rsidRPr="002F35C5" w:rsidRDefault="00921AD2" w:rsidP="008B2D79">
      <w:pPr>
        <w:jc w:val="both"/>
        <w:rPr>
          <w:rFonts w:asciiTheme="majorBidi" w:hAnsiTheme="majorBidi" w:cs="Simplified Arabic"/>
          <w:sz w:val="28"/>
          <w:szCs w:val="28"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رابعً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</w:t>
      </w: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ترفض " سوزان هاك " نزعة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بوبر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الاستنباطية لأنها ترى أن هذه النزعة تنتج عنها نتائج ارتيابية خطاءة، لم تعد استنباطية صرفة كما زعم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بوبر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 بل يتخللها الجانب الاستقرائي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. لكنها ترى أيضاً أن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َّ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الأسلوب الاستنباطى يحتاج إلى بعض المكون</w:t>
      </w:r>
      <w:r w:rsidR="00651AB8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ات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651AB8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ليست استنباطية صرفة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وليست منطقية صرفة ليثبت جدارته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؛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أي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مكونات تجمع بين الاستنباط المعتدل والاستقراء المعتدل.</w:t>
      </w:r>
    </w:p>
    <w:p w:rsidR="00AA74AF" w:rsidRPr="002F35C5" w:rsidRDefault="00921AD2" w:rsidP="008B2D79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خامساً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: إن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َّ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الفكرة الرئيسية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في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فلسفة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هاك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تراها من أفضل الأفكار الفلسفية تحقي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قًا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لموضوعية العلم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هي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نزعة البداهة النقدية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"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8B2D79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 xml:space="preserve">Critical Common </w:t>
      </w:r>
      <w:proofErr w:type="spellStart"/>
      <w:r w:rsidR="008B2D79" w:rsidRPr="002F35C5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Sensism</w:t>
      </w:r>
      <w:proofErr w:type="spellEnd"/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تتبنى الحلول البديهية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تتفق مع الحس المشترك أو الذوق العام،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والتي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ترى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"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هاك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" أنه لا يختلف على منهجها فرد أو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جماعة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؛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لأنها النزعة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تتبنى مواقف معتدلة لحل جميع المشكلات، وهى الفكرة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قامت عليها ج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ُ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ل فلسفتها.</w:t>
      </w:r>
    </w:p>
    <w:p w:rsidR="00651AB8" w:rsidRDefault="00921AD2" w:rsidP="008B2D79">
      <w:pPr>
        <w:jc w:val="both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سادساً 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: تتمثل موضوعية العلم خير تمثيل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عند " هاك " في البداهة النقدية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؛ تلك النزعة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التي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تتبنى النقد البناء المعتدل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البديهي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، الخادم لتطور العلم، فالبداهة النقدية لا تتبنى حلول وسطية فقط، بل الحل </w:t>
      </w:r>
      <w:r w:rsidR="008B2D79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>البديهي</w:t>
      </w:r>
      <w:r w:rsidR="00AA74AF" w:rsidRPr="002F35C5">
        <w:rPr>
          <w:rFonts w:asciiTheme="majorBidi" w:hAnsiTheme="majorBidi" w:cs="Simplified Arabic"/>
          <w:sz w:val="28"/>
          <w:szCs w:val="28"/>
          <w:rtl/>
          <w:lang w:bidi="ar-EG"/>
        </w:rPr>
        <w:t xml:space="preserve"> الذى يخدم المصالح العامة لكل الأطراف.</w:t>
      </w:r>
    </w:p>
    <w:p w:rsidR="002B1776" w:rsidRDefault="00B0445D" w:rsidP="002B1776">
      <w:pPr>
        <w:pStyle w:val="ListParagraph"/>
        <w:numPr>
          <w:ilvl w:val="0"/>
          <w:numId w:val="2"/>
        </w:numPr>
        <w:jc w:val="both"/>
        <w:rPr>
          <w:rFonts w:asciiTheme="majorBidi" w:hAnsiTheme="majorBidi" w:cs="Simplified Arabic"/>
          <w:sz w:val="28"/>
          <w:szCs w:val="28"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وهناك </w:t>
      </w:r>
      <w:r w:rsidR="002B1776">
        <w:rPr>
          <w:rFonts w:asciiTheme="majorBidi" w:hAnsiTheme="majorBidi" w:cs="Simplified Arabic" w:hint="cs"/>
          <w:sz w:val="28"/>
          <w:szCs w:val="28"/>
          <w:rtl/>
          <w:lang w:bidi="ar-EG"/>
        </w:rPr>
        <w:t>عديد من القضايا والإشكاليات التي يثيرها الكتاب .</w:t>
      </w:r>
    </w:p>
    <w:p w:rsidR="002B1776" w:rsidRPr="002B1776" w:rsidRDefault="002B1776" w:rsidP="002B1776">
      <w:pPr>
        <w:jc w:val="center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**********</w:t>
      </w:r>
    </w:p>
    <w:sectPr w:rsidR="002B1776" w:rsidRPr="002B1776" w:rsidSect="00343A46">
      <w:pgSz w:w="11906" w:h="16838"/>
      <w:pgMar w:top="110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2F" w:rsidRDefault="0069102F" w:rsidP="00343A46">
      <w:r>
        <w:separator/>
      </w:r>
    </w:p>
  </w:endnote>
  <w:endnote w:type="continuationSeparator" w:id="0">
    <w:p w:rsidR="0069102F" w:rsidRDefault="0069102F" w:rsidP="0034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2F" w:rsidRDefault="0069102F" w:rsidP="00343A46">
      <w:r>
        <w:separator/>
      </w:r>
    </w:p>
  </w:footnote>
  <w:footnote w:type="continuationSeparator" w:id="0">
    <w:p w:rsidR="0069102F" w:rsidRDefault="0069102F" w:rsidP="0034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9F4"/>
    <w:multiLevelType w:val="hybridMultilevel"/>
    <w:tmpl w:val="D8E218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1655A62"/>
    <w:multiLevelType w:val="hybridMultilevel"/>
    <w:tmpl w:val="D7346784"/>
    <w:lvl w:ilvl="0" w:tplc="9E940A98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3"/>
    <w:rsid w:val="00020760"/>
    <w:rsid w:val="000208EB"/>
    <w:rsid w:val="000522B2"/>
    <w:rsid w:val="00060296"/>
    <w:rsid w:val="0006415D"/>
    <w:rsid w:val="000747BC"/>
    <w:rsid w:val="000A6CF4"/>
    <w:rsid w:val="000B1089"/>
    <w:rsid w:val="000C5FA9"/>
    <w:rsid w:val="001D0E12"/>
    <w:rsid w:val="001D38A8"/>
    <w:rsid w:val="002255B4"/>
    <w:rsid w:val="002A5B43"/>
    <w:rsid w:val="002B1776"/>
    <w:rsid w:val="002C1430"/>
    <w:rsid w:val="002F35C5"/>
    <w:rsid w:val="003045A9"/>
    <w:rsid w:val="0031474D"/>
    <w:rsid w:val="00343A46"/>
    <w:rsid w:val="003F4C0E"/>
    <w:rsid w:val="0041389F"/>
    <w:rsid w:val="00427154"/>
    <w:rsid w:val="00453FE0"/>
    <w:rsid w:val="00550F6A"/>
    <w:rsid w:val="00557BB6"/>
    <w:rsid w:val="0061022C"/>
    <w:rsid w:val="0063748E"/>
    <w:rsid w:val="00651AB8"/>
    <w:rsid w:val="0069102F"/>
    <w:rsid w:val="00691D07"/>
    <w:rsid w:val="00692D83"/>
    <w:rsid w:val="006C0183"/>
    <w:rsid w:val="007A2415"/>
    <w:rsid w:val="00855DA5"/>
    <w:rsid w:val="00875A89"/>
    <w:rsid w:val="0088421F"/>
    <w:rsid w:val="008B2D79"/>
    <w:rsid w:val="00921AD2"/>
    <w:rsid w:val="00925611"/>
    <w:rsid w:val="009501A1"/>
    <w:rsid w:val="00971817"/>
    <w:rsid w:val="00972A04"/>
    <w:rsid w:val="009D09BA"/>
    <w:rsid w:val="00AA74AF"/>
    <w:rsid w:val="00AE0482"/>
    <w:rsid w:val="00AE7EA3"/>
    <w:rsid w:val="00B0445D"/>
    <w:rsid w:val="00B52771"/>
    <w:rsid w:val="00BA6CDC"/>
    <w:rsid w:val="00CE66A6"/>
    <w:rsid w:val="00D4796B"/>
    <w:rsid w:val="00F0457F"/>
    <w:rsid w:val="00F3568B"/>
    <w:rsid w:val="00F71C6E"/>
    <w:rsid w:val="00F71D3E"/>
    <w:rsid w:val="00FA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عادي1"/>
    <w:basedOn w:val="Default"/>
    <w:next w:val="Default"/>
    <w:uiPriority w:val="99"/>
    <w:rsid w:val="000B1089"/>
    <w:rPr>
      <w:color w:val="auto"/>
    </w:rPr>
  </w:style>
  <w:style w:type="paragraph" w:styleId="ListParagraph">
    <w:name w:val="List Paragraph"/>
    <w:basedOn w:val="Normal"/>
    <w:uiPriority w:val="34"/>
    <w:qFormat/>
    <w:rsid w:val="00AA7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عادي1"/>
    <w:basedOn w:val="Default"/>
    <w:next w:val="Default"/>
    <w:uiPriority w:val="99"/>
    <w:rsid w:val="000B1089"/>
    <w:rPr>
      <w:color w:val="auto"/>
    </w:rPr>
  </w:style>
  <w:style w:type="paragraph" w:styleId="ListParagraph">
    <w:name w:val="List Paragraph"/>
    <w:basedOn w:val="Normal"/>
    <w:uiPriority w:val="34"/>
    <w:qFormat/>
    <w:rsid w:val="00AA7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5</cp:revision>
  <dcterms:created xsi:type="dcterms:W3CDTF">2016-01-12T19:28:00Z</dcterms:created>
  <dcterms:modified xsi:type="dcterms:W3CDTF">2018-09-10T18:55:00Z</dcterms:modified>
</cp:coreProperties>
</file>